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>
      <w:pPr>
        <w:ind w:left="6237"/>
        <w:rPr>
          <w:rFonts w:ascii="Times New Roman" w:hAnsi="Times New Roman" w:cs="Times New Roman"/>
          <w:sz w:val="28"/>
          <w:szCs w:val="28"/>
        </w:rPr>
      </w:pPr>
    </w:p>
    <w:p>
      <w:pPr>
        <w:spacing w:after="72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bookmarkStart w:id="0" w:name="P1515"/>
      <w:bookmarkEnd w:id="0"/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намерении применять дифференцированную налоговую ставку </w:t>
      </w:r>
      <w:r>
        <w:rPr>
          <w:rFonts w:ascii="Times New Roman" w:hAnsi="Times New Roman" w:cs="Times New Roman"/>
          <w:b/>
          <w:sz w:val="28"/>
          <w:szCs w:val="28"/>
        </w:rPr>
        <w:br/>
        <w:t>по налогу на имущество организаций</w:t>
      </w:r>
    </w:p>
    <w:p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20__ году</w:t>
      </w:r>
    </w:p>
    <w:p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резидента парковой зоны (управляющей компании парковой зоны): ______________________________________________________</w:t>
      </w:r>
    </w:p>
    <w:p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Руководитель (должность, Ф.И.О., телефон):_______________________</w:t>
      </w:r>
    </w:p>
    <w:p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Дата подписания соглашения о ведении деятельности в парковой зоне (договора о парковой зоне):_____________________________________________</w:t>
      </w:r>
    </w:p>
    <w:p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Сведения об основном виде деятельности в соответствии</w:t>
      </w:r>
      <w:r>
        <w:rPr>
          <w:rFonts w:ascii="Times New Roman" w:hAnsi="Times New Roman" w:cs="Times New Roman"/>
          <w:sz w:val="28"/>
          <w:szCs w:val="28"/>
        </w:rPr>
        <w:br/>
        <w:t>с Общероссийским классификатором видов экономической деятельности:________________________________________________________</w:t>
      </w:r>
    </w:p>
    <w:p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Расчет применения дифференцированной налоговой ставки по налогу на имущество организаций: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7513"/>
        <w:gridCol w:w="1559"/>
      </w:tblGrid>
      <w:tr>
        <w:trPr>
          <w:tblHeader/>
        </w:trPr>
        <w:tc>
          <w:tcPr>
            <w:tcW w:w="62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тыс. рублей</w:t>
            </w:r>
          </w:p>
        </w:tc>
      </w:tr>
      <w:tr>
        <w:tc>
          <w:tcPr>
            <w:tcW w:w="62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513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имущества, используемого резидентом парковой зоны для ведения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территории парковой зоны интенсивного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принятого к бухгалтерскому учету до 1 января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котором применяется дифференцированная налоговая ставка по налогу на имущество организаций (первоначальная стоимость имущества, используемого управляющей компанией парковой зоны для функционирования парковой зоны интенсивного развития и принятого к бухгалтерскому учету до 1 января года,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применяется дифференцированная налоговая ставка по налогу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имущество организаций)</w:t>
            </w:r>
          </w:p>
        </w:tc>
        <w:tc>
          <w:tcPr>
            <w:tcW w:w="1559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2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513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имущества, используемого резидентом парковой зоны для ведения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территории парковой зоны интенсивного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принятого к бухгалтерскому учету по состоянию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1 января года, в котором применяется дифференцированная налоговая ставка по налогу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имущество организаций (остаточная стоимость имущества, используемого управляющей компанией парковой зоны для функционирования парковой зоны интенсивного развития и принятого к бухгалтерскому учету по состоянию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января года, в котором применяется дифференцированная налоговая ставка по налогу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имущество организаций)</w:t>
            </w:r>
            <w:proofErr w:type="gramEnd"/>
          </w:p>
        </w:tc>
        <w:tc>
          <w:tcPr>
            <w:tcW w:w="1559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2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547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7513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имущества для целей налогообложения за налоговый период, в котором применяется дифференцированная налоговая 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налогу на имущество организаций</w:t>
            </w:r>
          </w:p>
        </w:tc>
        <w:tc>
          <w:tcPr>
            <w:tcW w:w="1559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2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550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513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налоговых платежей по налогу на имущество организаций в отношении имущества, стоимость  которого указана в подпункте 5.3 настоящего уведомления, рассчитанный в отчетном налоговом периоде с применением обычной налоговой ставки (2,2%)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Налоговым кодексом Российской Федерации </w:t>
            </w:r>
          </w:p>
        </w:tc>
        <w:tc>
          <w:tcPr>
            <w:tcW w:w="1559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2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553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513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налоговых платежей по налогу на имущество организаций в отношении имущества, стоимость которого указана в подпункте 5.3 настоящего уведомления, рассчитанный в отчетном налоговом периоде с применением дифференцированной налоговой ставки по налогу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имущество организаций в соответствии с Налоговым кодексом Российской Федерации </w:t>
            </w:r>
          </w:p>
        </w:tc>
        <w:tc>
          <w:tcPr>
            <w:tcW w:w="1559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2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7513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Размер недополученных доходов от предоставления дифференцированной налоговой ставки по налогу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имущество организаций в консолидированный бюджет Кировской области (рассчитывается как разность между  размером налоговых платежей по налогу на имущество организаций, рассчитанным с применением обычной налоговой ставки (2,2%), и размером налоговых платежей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налогу на имущество организаций, рассчитанным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применением дифференцированной налоговой 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налогу на имущество организаций)</w:t>
            </w:r>
            <w:proofErr w:type="gramEnd"/>
          </w:p>
        </w:tc>
        <w:tc>
          <w:tcPr>
            <w:tcW w:w="1559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61"/>
      <w:bookmarkEnd w:id="4"/>
    </w:p>
    <w:p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Налогоплательщик дает согласие на то, что сведения, отнесенные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со статьей 102 Налогового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информации ограниченного доступа, переводятся в разряд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общедоступных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с «___»__________20___года.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        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>
      <w:pPr>
        <w:spacing w:before="720"/>
        <w:jc w:val="center"/>
      </w:pPr>
      <w:r>
        <w:t>___________</w:t>
      </w:r>
    </w:p>
    <w:sectPr>
      <w:headerReference w:type="default" r:id="rId6"/>
      <w:pgSz w:w="11905" w:h="16838"/>
      <w:pgMar w:top="1418" w:right="567" w:bottom="1134" w:left="1701" w:header="709" w:footer="709" w:gutter="0"/>
      <w:pgNumType w:start="23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27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2021-12-29T13:30:00Z</cp:lastPrinted>
  <dcterms:created xsi:type="dcterms:W3CDTF">2021-11-19T08:00:00Z</dcterms:created>
  <dcterms:modified xsi:type="dcterms:W3CDTF">2021-12-29T13:56:00Z</dcterms:modified>
</cp:coreProperties>
</file>